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382A570A" w:rsidR="003B0A9F" w:rsidRPr="003B0A9F" w:rsidRDefault="00A15268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A15268">
        <w:rPr>
          <w:rFonts w:ascii="Arial" w:hAnsi="Arial" w:cs="Arial"/>
          <w:b/>
          <w:bCs/>
          <w:color w:val="3DCD58"/>
          <w:sz w:val="40"/>
          <w:szCs w:val="40"/>
        </w:rPr>
        <w:t xml:space="preserve">Schneider Electric rozšiřuje portfolio kapalinového chlazení o nové </w:t>
      </w:r>
      <w:r w:rsidR="00FA297A">
        <w:rPr>
          <w:rFonts w:ascii="Arial" w:hAnsi="Arial" w:cs="Arial"/>
          <w:b/>
          <w:bCs/>
          <w:color w:val="3DCD58"/>
          <w:sz w:val="40"/>
          <w:szCs w:val="40"/>
        </w:rPr>
        <w:t xml:space="preserve">jednotky </w:t>
      </w:r>
      <w:r w:rsidRPr="00A15268">
        <w:rPr>
          <w:rFonts w:ascii="Arial" w:hAnsi="Arial" w:cs="Arial"/>
          <w:b/>
          <w:bCs/>
          <w:color w:val="3DCD58"/>
          <w:sz w:val="40"/>
          <w:szCs w:val="40"/>
        </w:rPr>
        <w:t>CDU značky Motivair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3F0D04EB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4B7439">
        <w:rPr>
          <w:rFonts w:ascii="Arial" w:eastAsia="Arial" w:hAnsi="Arial" w:cs="Arial"/>
          <w:b/>
          <w:bCs/>
          <w:sz w:val="20"/>
          <w:szCs w:val="20"/>
        </w:rPr>
        <w:t>3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B7439">
        <w:rPr>
          <w:rFonts w:ascii="Arial" w:eastAsia="Arial" w:hAnsi="Arial" w:cs="Arial"/>
          <w:b/>
          <w:bCs/>
          <w:sz w:val="20"/>
          <w:szCs w:val="20"/>
        </w:rPr>
        <w:t>února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1F29CD" w:rsidRPr="001F29CD">
        <w:rPr>
          <w:rFonts w:ascii="Arial" w:eastAsia="Arial" w:hAnsi="Arial" w:cs="Arial"/>
          <w:b/>
          <w:bCs/>
          <w:sz w:val="20"/>
          <w:szCs w:val="20"/>
        </w:rPr>
        <w:t xml:space="preserve">Společnost </w:t>
      </w:r>
      <w:r w:rsidR="001F29CD" w:rsidRPr="00907BE5">
        <w:rPr>
          <w:rFonts w:ascii="Arial" w:eastAsia="Arial" w:hAnsi="Arial" w:cs="Arial"/>
          <w:b/>
          <w:bCs/>
          <w:sz w:val="20"/>
          <w:szCs w:val="20"/>
        </w:rPr>
        <w:t>Motivair</w:t>
      </w:r>
      <w:r w:rsidR="001F29CD" w:rsidRPr="001F29CD">
        <w:rPr>
          <w:rFonts w:ascii="Arial" w:eastAsia="Arial" w:hAnsi="Arial" w:cs="Arial"/>
          <w:b/>
          <w:bCs/>
          <w:sz w:val="20"/>
          <w:szCs w:val="20"/>
        </w:rPr>
        <w:t xml:space="preserve"> by Schneider Electric představila novou řadu distribučních jednotek chladiva (</w:t>
      </w:r>
      <w:r w:rsidR="001F29CD" w:rsidRPr="00907BE5">
        <w:rPr>
          <w:rFonts w:ascii="Arial" w:eastAsia="Arial" w:hAnsi="Arial" w:cs="Arial"/>
          <w:b/>
          <w:bCs/>
          <w:sz w:val="20"/>
          <w:szCs w:val="20"/>
        </w:rPr>
        <w:t>Coolant Distribution Units</w:t>
      </w:r>
      <w:r w:rsidR="001F29CD" w:rsidRPr="001F29CD">
        <w:rPr>
          <w:rFonts w:ascii="Arial" w:eastAsia="Arial" w:hAnsi="Arial" w:cs="Arial"/>
          <w:b/>
          <w:bCs/>
          <w:sz w:val="20"/>
          <w:szCs w:val="20"/>
        </w:rPr>
        <w:t xml:space="preserve">, CDU), které jsou navrženy tak, aby odpovídaly rychle rostoucím tepelným nárokům výpočetně náročných prostředí, jako jsou HPC a </w:t>
      </w:r>
      <w:r w:rsidR="00AD7AC0">
        <w:rPr>
          <w:rFonts w:ascii="Arial" w:eastAsia="Arial" w:hAnsi="Arial" w:cs="Arial"/>
          <w:b/>
          <w:bCs/>
          <w:sz w:val="20"/>
          <w:szCs w:val="20"/>
        </w:rPr>
        <w:t>AI aplikace</w:t>
      </w:r>
      <w:r w:rsidR="001F29CD" w:rsidRPr="001F29CD">
        <w:rPr>
          <w:rFonts w:ascii="Arial" w:eastAsia="Arial" w:hAnsi="Arial" w:cs="Arial"/>
          <w:b/>
          <w:bCs/>
          <w:sz w:val="20"/>
          <w:szCs w:val="20"/>
        </w:rPr>
        <w:t>. Nové modely přinášejí vyšší flexibilitu instalace, energetickou účinnost a lepší integraci do chladicích systémů</w:t>
      </w:r>
      <w:r w:rsidR="00F75EC6">
        <w:rPr>
          <w:rFonts w:ascii="Arial" w:eastAsia="Arial" w:hAnsi="Arial" w:cs="Arial"/>
          <w:b/>
          <w:bCs/>
          <w:sz w:val="20"/>
          <w:szCs w:val="20"/>
        </w:rPr>
        <w:t xml:space="preserve"> stávajících</w:t>
      </w:r>
      <w:r w:rsidR="001F29CD" w:rsidRPr="001F29CD">
        <w:rPr>
          <w:rFonts w:ascii="Arial" w:eastAsia="Arial" w:hAnsi="Arial" w:cs="Arial"/>
          <w:b/>
          <w:bCs/>
          <w:sz w:val="20"/>
          <w:szCs w:val="20"/>
        </w:rPr>
        <w:t xml:space="preserve"> datových center.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082B1002" w14:textId="3E4B04B6" w:rsidR="003B0A9F" w:rsidRDefault="007374BB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7374B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Společnost Motivair by Schneider Electric, </w:t>
      </w:r>
      <w:r w:rsidR="00360D3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lídr inovací</w:t>
      </w:r>
      <w:r w:rsidRPr="007374B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 oblasti kapalinového chlazení digitální infrastruktury, oznámila uvedení dvou nových distribučních jednotek chladiva (CDU), které jsou navrženy pro zvládnutí rostoucích tepelných nároků prostředí s vysokou hustotou výpočtů, zejména v</w:t>
      </w:r>
      <w:r w:rsidR="002259F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7374B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oblasti HPC </w:t>
      </w:r>
      <w:r w:rsidR="00907B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(</w:t>
      </w:r>
      <w:r w:rsidR="00907BE5"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vysoce výkonn</w:t>
      </w:r>
      <w:r w:rsidR="00907B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ých</w:t>
      </w:r>
      <w:r w:rsidR="00907BE5" w:rsidRPr="00904C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výpočt</w:t>
      </w:r>
      <w:r w:rsidR="00907BE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ů) </w:t>
      </w:r>
      <w:r w:rsidRPr="007374B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a </w:t>
      </w:r>
      <w:r w:rsidR="009841F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aplikací </w:t>
      </w:r>
      <w:r w:rsidRPr="007374B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umělé inteligence.</w:t>
      </w:r>
    </w:p>
    <w:p w14:paraId="43119C23" w14:textId="77777777" w:rsidR="002259F1" w:rsidRDefault="002259F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6DCE97D" w14:textId="795F9623" w:rsidR="00D54B19" w:rsidRDefault="001A6F8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A6F8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Nové modely MCDU-45 a MCDU-55 jsou prvními účelově navrženými CDU společnosti Motivair by Schneider Electric určenými pro optimalizovanou instalaci v technických a servisních koridorech mimo</w:t>
      </w:r>
      <w:r w:rsidR="00A7453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A6F8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IT </w:t>
      </w:r>
      <w:r w:rsidR="00A7453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sály</w:t>
      </w:r>
      <w:r w:rsidRPr="001A6F8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datových center. </w:t>
      </w:r>
      <w:r w:rsidR="00D8136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Provozovatelům</w:t>
      </w:r>
      <w:r w:rsidRPr="001A6F8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tak nabízejí vyšší flexibilitu nasazení, lepší výkon a snadnější integraci v široké škále provozních scénářů.</w:t>
      </w:r>
    </w:p>
    <w:p w14:paraId="03E1F627" w14:textId="77777777" w:rsidR="001A6F81" w:rsidRDefault="001A6F8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0905F16" w14:textId="08AA3637" w:rsidR="009F281A" w:rsidRDefault="009F281A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9F281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Oba modely poskytují širší rozsah chladicích výkonů, provozních podmínek i funkcí, což umožňuje využívat širší spektrum teplot chlazené vody a optimalizovat návrh i provoz chladicích systémů. Rozšířením svého end-to-end portfolia kapalinového chlazení nyní Motivair by Schneider Electric nabízí jak podlahové CDU, tak i rack</w:t>
      </w:r>
      <w:r w:rsidR="00A4301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ové</w:t>
      </w:r>
      <w:r w:rsidRPr="009F281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jednotky, určené pro velkokapacitní datová centra, AI továrny, kolokační, edge i retrofitová prostředí.</w:t>
      </w:r>
    </w:p>
    <w:p w14:paraId="03695E19" w14:textId="77777777" w:rsidR="001A6F81" w:rsidRDefault="001A6F8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2D6D7F2" w14:textId="25C4194E" w:rsidR="001A6F81" w:rsidRDefault="001A6F81" w:rsidP="001A6F81">
      <w:pPr>
        <w:jc w:val="both"/>
        <w:rPr>
          <w:rFonts w:ascii="Arial" w:hAnsi="Arial" w:cs="Arial"/>
          <w:b/>
          <w:bCs/>
          <w:color w:val="3DCD58"/>
          <w:sz w:val="20"/>
          <w:szCs w:val="20"/>
        </w:rPr>
      </w:pPr>
      <w:r w:rsidRPr="001A6F81">
        <w:rPr>
          <w:rFonts w:ascii="Arial" w:hAnsi="Arial" w:cs="Arial"/>
          <w:b/>
          <w:bCs/>
          <w:color w:val="3DCD58"/>
          <w:sz w:val="20"/>
          <w:szCs w:val="20"/>
        </w:rPr>
        <w:t>Klíčové přínosy jednotek MCDU-45 a MCDU-55</w:t>
      </w:r>
    </w:p>
    <w:p w14:paraId="7D140181" w14:textId="77777777" w:rsidR="001A6F81" w:rsidRDefault="001A6F8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B0367B5" w14:textId="71AEEF84" w:rsidR="009F281A" w:rsidRDefault="001A6F8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A6F8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Nové CDU odrážejí vývoj kapalinového chlazení a proměnu infrastruktury v éře umělé inteligence. Zákazníci stále častěji umisťují chladicí jednotky mimo tzv. </w:t>
      </w:r>
      <w:r w:rsidR="00CF6CD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„</w:t>
      </w:r>
      <w:r w:rsidRPr="001A6F8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white space</w:t>
      </w:r>
      <w:r w:rsidR="00CF6CD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“</w:t>
      </w:r>
      <w:r w:rsidRPr="001A6F8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což klade vyšší nároky na flexibilitu a škálovatelnost řešení.</w:t>
      </w:r>
    </w:p>
    <w:p w14:paraId="3003AECF" w14:textId="77777777" w:rsidR="001A6F81" w:rsidRDefault="001A6F8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13A9579" w14:textId="24C021A1" w:rsidR="00160FAF" w:rsidRDefault="00160FAF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60FA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Díky kompletnímu portfoliu možností nasazení CDU mohou provozovatelé datových center přizpůsobit chladicí strategie konkrétní AI infrastruktuře, návrhu datového centra i charakteru zátěže a dosáhnout tak optimálního tepelného výkonu a provozní odolnosti i při dalším růstu výpočetní hustoty.</w:t>
      </w:r>
    </w:p>
    <w:p w14:paraId="61D1BB9F" w14:textId="77777777" w:rsidR="00411B61" w:rsidRDefault="00411B6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3F38534" w14:textId="2F172388" w:rsidR="00411B61" w:rsidRDefault="00411B61" w:rsidP="008B197A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411B6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Mezi hlavní přínosy nových jednotek patří:</w:t>
      </w:r>
    </w:p>
    <w:p w14:paraId="0E33CB15" w14:textId="77777777" w:rsidR="00411B61" w:rsidRDefault="00411B61" w:rsidP="008B197A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45B9B418" w14:textId="77777777" w:rsidR="00411B61" w:rsidRPr="00411B61" w:rsidRDefault="00411B61" w:rsidP="00411B61">
      <w:pPr>
        <w:pStyle w:val="Odstavecseseznamem"/>
        <w:numPr>
          <w:ilvl w:val="0"/>
          <w:numId w:val="21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1B6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Optimalizace prostoru a flexibilita nasazení:</w:t>
      </w:r>
      <w:r w:rsidRPr="00411B6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Široká nabídka nových i stávajících CDU umožňuje zvolit řešení odpovídající konkrétním cílům instalace.</w:t>
      </w:r>
    </w:p>
    <w:p w14:paraId="003EC9AD" w14:textId="77777777" w:rsidR="00411B61" w:rsidRPr="00411B61" w:rsidRDefault="00411B61" w:rsidP="00411B6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3CB93DE" w14:textId="77777777" w:rsidR="00411B61" w:rsidRPr="00411B61" w:rsidRDefault="00411B61" w:rsidP="00411B61">
      <w:pPr>
        <w:pStyle w:val="Odstavecseseznamem"/>
        <w:numPr>
          <w:ilvl w:val="0"/>
          <w:numId w:val="21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1B6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Úspory energie:</w:t>
      </w:r>
      <w:r w:rsidRPr="00411B6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Širší provozní rozsahy umožňují efektivnější odvádění tepla, zvyšují energetickou účinnost a přispívají ke zlepšení hodnot PUE.</w:t>
      </w:r>
    </w:p>
    <w:p w14:paraId="33F470F6" w14:textId="77777777" w:rsidR="00411B61" w:rsidRPr="00411B61" w:rsidRDefault="00411B61" w:rsidP="00411B6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39E4FE4" w14:textId="77777777" w:rsidR="00411B61" w:rsidRPr="00411B61" w:rsidRDefault="00411B61" w:rsidP="00411B61">
      <w:pPr>
        <w:pStyle w:val="Odstavecseseznamem"/>
        <w:numPr>
          <w:ilvl w:val="0"/>
          <w:numId w:val="21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1B6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Jednodušší údržba a lepší přístupnost:</w:t>
      </w:r>
      <w:r w:rsidRPr="00411B6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Různorodé možnosti umístění CDU usnadňují servisní zásahy bez narušení provozu AI zátěží a IT systémů.</w:t>
      </w:r>
    </w:p>
    <w:p w14:paraId="2B6BAC2B" w14:textId="77777777" w:rsidR="00411B61" w:rsidRPr="00411B61" w:rsidRDefault="00411B61" w:rsidP="00411B6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56F1481" w14:textId="5FD3D946" w:rsidR="00411B61" w:rsidRPr="00411B61" w:rsidRDefault="00411B61" w:rsidP="00411B61">
      <w:pPr>
        <w:pStyle w:val="Odstavecseseznamem"/>
        <w:numPr>
          <w:ilvl w:val="0"/>
          <w:numId w:val="21"/>
        </w:num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1B6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Lepší integrace s</w:t>
      </w:r>
      <w:r w:rsidR="009309DF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e zdroji chladu</w:t>
      </w:r>
      <w:r w:rsidRPr="00411B6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:</w:t>
      </w:r>
      <w:r w:rsidRPr="00411B6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Kompletní řada CDU (modely MCDU-25 až MCDU-60) podporuje pokročilé strategie tepelného managementu díky přesnému řízení průtoku, monitoringu v reálném čase a adaptivnímu vyvažování zátěže, což optimalizuje výkon chladicích systémů a snižuje spotřebu energie.</w:t>
      </w:r>
    </w:p>
    <w:p w14:paraId="39861166" w14:textId="77777777" w:rsidR="001A6F81" w:rsidRDefault="001A6F81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61650FF" w14:textId="132C4A16" w:rsidR="00C85BDC" w:rsidRDefault="00C85BDC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C85BD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„V oblasti kapalinového chlazení datových center je flexibilita klíčová – zákazníci dnes požadují širší a rozmanitější portfolio komplexních end-to-end řešení,“</w:t>
      </w:r>
      <w:r w:rsidRPr="00C85BD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ádí</w:t>
      </w:r>
      <w:r w:rsidRPr="00C85BD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Andrew Bradner, senior viceprezident divize chlazení společnosti Schneider Electric. </w:t>
      </w:r>
      <w:r w:rsidRPr="00C85BD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„Nové CDU umožňují lépe přizpůsobit strategii nasazení širokému spektru akcelerovaných výpočetních aplikací a zároveň staví na desítkách let zkušeností v </w:t>
      </w:r>
      <w:r w:rsidRPr="00C85BD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lastRenderedPageBreak/>
        <w:t>oblasti specializovaného chlazení, které zajišťují vysoký výkon, spolehlivost a připravenost na budoucí vývoj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C85BDC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363CB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pokračuje Andrew Bradner.</w:t>
      </w:r>
    </w:p>
    <w:p w14:paraId="1718E7A5" w14:textId="77777777" w:rsidR="00A112A9" w:rsidRDefault="00A112A9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3761E5D" w14:textId="67AC493F" w:rsidR="00A112A9" w:rsidRDefault="00A112A9" w:rsidP="00A112A9">
      <w:pPr>
        <w:rPr>
          <w:rFonts w:ascii="Arial" w:hAnsi="Arial" w:cs="Arial"/>
          <w:b/>
          <w:bCs/>
          <w:color w:val="3DCD58"/>
          <w:sz w:val="20"/>
          <w:szCs w:val="20"/>
        </w:rPr>
      </w:pPr>
      <w:r w:rsidRPr="00A112A9">
        <w:rPr>
          <w:rFonts w:ascii="Arial" w:hAnsi="Arial" w:cs="Arial"/>
          <w:b/>
          <w:bCs/>
          <w:color w:val="3DCD58"/>
          <w:sz w:val="20"/>
          <w:szCs w:val="20"/>
        </w:rPr>
        <w:t>Ověřená expertíza a globální působnost</w:t>
      </w:r>
    </w:p>
    <w:p w14:paraId="66EA10C9" w14:textId="77777777" w:rsidR="00A112A9" w:rsidRPr="00C85BDC" w:rsidRDefault="00A112A9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1D15CB5" w14:textId="77777777" w:rsidR="003137F5" w:rsidRDefault="003137F5" w:rsidP="003137F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3137F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Nové CDU jsou prvními produkty uvedenými na trh od akvizice společnosti Motivair skupinou Schneider Electric v únoru 2025. Jejich vývoj byl reakcí na exponenciální růst aplikací umělé inteligence, zejména v prostředích HPC, AI továren a datových center, kde je nutné zvládat extrémně vysoké výpočetní hustoty pomocí efektivních a škálovatelných kapalinových chladicích řešení.</w:t>
      </w:r>
    </w:p>
    <w:p w14:paraId="37A9BB55" w14:textId="77777777" w:rsidR="003137F5" w:rsidRPr="003137F5" w:rsidRDefault="003137F5" w:rsidP="003137F5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692097C" w14:textId="65A27630" w:rsidR="002259F1" w:rsidRPr="00637FBD" w:rsidRDefault="003137F5" w:rsidP="008B197A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3137F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„Motivair je dlouhodobě důvěryhodným partnerem v oblasti pokročilých řešení kapalinového chlazení a naše nová technologická řada umožňuje provozovatelům datových center vstoupit do éry AI s jistotou,“ </w:t>
      </w:r>
      <w:r w:rsidRPr="003137F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říká Rich Whitmore, CEO společnosti Motivair. </w:t>
      </w:r>
      <w:r w:rsidRPr="003137F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„Ve Schneider Electric chceme dodávat chladicí řešení nové generace, která se dokážou přizpůsobit jakémukoli HPC, AI nebo pokročilému datovému centru a zajistí plynulou škálovatelnost, vysoký výkon a spolehlivost v okamžicích, kdy na tom záleží nejvíce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</w:t>
      </w:r>
      <w:r w:rsidRPr="003137F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“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uzavírá Rich Whitmore.</w:t>
      </w:r>
    </w:p>
    <w:p w14:paraId="4F4AEB20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1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3AB4B961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4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423883C6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0D240BFD" w14:textId="1D98198E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  <w:r w:rsidR="00910ECD" w:rsidRPr="00910ECD">
        <w:rPr>
          <w:rFonts w:ascii="Arial" w:hAnsi="Arial" w:cs="Arial"/>
          <w:sz w:val="20"/>
          <w:szCs w:val="20"/>
          <w:shd w:val="clear" w:color="auto" w:fill="FFFFFF"/>
        </w:rPr>
        <w:t>#AI #DataCentersoftheFuture #makeAIcooler</w:t>
      </w:r>
    </w:p>
    <w:sectPr w:rsidR="0055368A" w:rsidRPr="0055368A" w:rsidSect="00076B1F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06B2" w14:textId="77777777" w:rsidR="00C3247D" w:rsidRPr="00EA4814" w:rsidRDefault="00C3247D">
      <w:r w:rsidRPr="00EA4814">
        <w:separator/>
      </w:r>
    </w:p>
  </w:endnote>
  <w:endnote w:type="continuationSeparator" w:id="0">
    <w:p w14:paraId="72585396" w14:textId="77777777" w:rsidR="00C3247D" w:rsidRPr="00EA4814" w:rsidRDefault="00C3247D">
      <w:r w:rsidRPr="00EA4814">
        <w:continuationSeparator/>
      </w:r>
    </w:p>
  </w:endnote>
  <w:endnote w:type="continuationNotice" w:id="1">
    <w:p w14:paraId="21F29C01" w14:textId="77777777" w:rsidR="00C3247D" w:rsidRPr="00EA4814" w:rsidRDefault="00C32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656B2" w14:textId="77777777" w:rsidR="00C3247D" w:rsidRPr="00EA4814" w:rsidRDefault="00C3247D">
      <w:r w:rsidRPr="00EA4814">
        <w:separator/>
      </w:r>
    </w:p>
  </w:footnote>
  <w:footnote w:type="continuationSeparator" w:id="0">
    <w:p w14:paraId="1874258C" w14:textId="77777777" w:rsidR="00C3247D" w:rsidRPr="00EA4814" w:rsidRDefault="00C3247D">
      <w:r w:rsidRPr="00EA4814">
        <w:continuationSeparator/>
      </w:r>
    </w:p>
  </w:footnote>
  <w:footnote w:type="continuationNotice" w:id="1">
    <w:p w14:paraId="055B2485" w14:textId="77777777" w:rsidR="00C3247D" w:rsidRPr="00EA4814" w:rsidRDefault="00C32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5FC9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E02"/>
    <w:rsid w:val="001F070B"/>
    <w:rsid w:val="001F29CD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259F1"/>
    <w:rsid w:val="002347CF"/>
    <w:rsid w:val="00235B99"/>
    <w:rsid w:val="00237793"/>
    <w:rsid w:val="00237E27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C1C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0A9F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2BEF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E1443"/>
    <w:rsid w:val="006E1BDD"/>
    <w:rsid w:val="006F07F9"/>
    <w:rsid w:val="006F2CC0"/>
    <w:rsid w:val="006F36DD"/>
    <w:rsid w:val="006F4E51"/>
    <w:rsid w:val="006F5BA9"/>
    <w:rsid w:val="006F6E6C"/>
    <w:rsid w:val="00700E07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74BB"/>
    <w:rsid w:val="00737CFB"/>
    <w:rsid w:val="00737E23"/>
    <w:rsid w:val="00747B6B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7E90"/>
    <w:rsid w:val="007D00BD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2041"/>
    <w:rsid w:val="00916234"/>
    <w:rsid w:val="00917D8E"/>
    <w:rsid w:val="00917F14"/>
    <w:rsid w:val="009204F1"/>
    <w:rsid w:val="009219D3"/>
    <w:rsid w:val="0092487D"/>
    <w:rsid w:val="009309DF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36277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4603"/>
    <w:rsid w:val="00BC10D2"/>
    <w:rsid w:val="00BC29D9"/>
    <w:rsid w:val="00BC590E"/>
    <w:rsid w:val="00BD14CA"/>
    <w:rsid w:val="00BD180E"/>
    <w:rsid w:val="00BD30C0"/>
    <w:rsid w:val="00BD537C"/>
    <w:rsid w:val="00BD5477"/>
    <w:rsid w:val="00BE3E97"/>
    <w:rsid w:val="00BE48BA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6BE"/>
    <w:rsid w:val="00C137DC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1009"/>
    <w:rsid w:val="00CF6CD2"/>
    <w:rsid w:val="00CF79B4"/>
    <w:rsid w:val="00CF7C8E"/>
    <w:rsid w:val="00D0002B"/>
    <w:rsid w:val="00D0139C"/>
    <w:rsid w:val="00D018E9"/>
    <w:rsid w:val="00D0200C"/>
    <w:rsid w:val="00D027F3"/>
    <w:rsid w:val="00D03929"/>
    <w:rsid w:val="00D11D2E"/>
    <w:rsid w:val="00D13B4D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4B19"/>
    <w:rsid w:val="00D56634"/>
    <w:rsid w:val="00D66360"/>
    <w:rsid w:val="00D66671"/>
    <w:rsid w:val="00D66D36"/>
    <w:rsid w:val="00D75A66"/>
    <w:rsid w:val="00D76179"/>
    <w:rsid w:val="00D76827"/>
    <w:rsid w:val="00D81363"/>
    <w:rsid w:val="00D84E62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A3B"/>
    <w:rsid w:val="00DB3953"/>
    <w:rsid w:val="00DB3A14"/>
    <w:rsid w:val="00DB5779"/>
    <w:rsid w:val="00DB5FE7"/>
    <w:rsid w:val="00DC0B5D"/>
    <w:rsid w:val="00DC0EAC"/>
    <w:rsid w:val="00DC206A"/>
    <w:rsid w:val="00DC22E5"/>
    <w:rsid w:val="00DC4035"/>
    <w:rsid w:val="00DC4423"/>
    <w:rsid w:val="00DC7545"/>
    <w:rsid w:val="00DD6148"/>
    <w:rsid w:val="00DE0EF5"/>
    <w:rsid w:val="00DE3D07"/>
    <w:rsid w:val="00DE7917"/>
    <w:rsid w:val="00DF2E71"/>
    <w:rsid w:val="00DF532D"/>
    <w:rsid w:val="00E05A2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11B7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05750"/>
    <w:rsid w:val="00F11B92"/>
    <w:rsid w:val="00F14FE0"/>
    <w:rsid w:val="00F151CA"/>
    <w:rsid w:val="00F27496"/>
    <w:rsid w:val="00F3083B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5EC6"/>
    <w:rsid w:val="00F77659"/>
    <w:rsid w:val="00F8399A"/>
    <w:rsid w:val="00F874DD"/>
    <w:rsid w:val="00F90891"/>
    <w:rsid w:val="00F91025"/>
    <w:rsid w:val="00F974A2"/>
    <w:rsid w:val="00FA090F"/>
    <w:rsid w:val="00FA297A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@SchneiderElectricCZ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yperlink" Target="https://twitter.com/SchneiderElec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schneider-electric" TargetMode="External"/><Relationship Id="rId20" Type="http://schemas.openxmlformats.org/officeDocument/2006/relationships/hyperlink" Target="https://www.instagram.com/schneiderelectric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s://www.se.com/ww/en/insights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SchneiderElectricCZ/?brand_redir=597372713700290" TargetMode="External"/><Relationship Id="rId22" Type="http://schemas.openxmlformats.org/officeDocument/2006/relationships/hyperlink" Target="http://blog.schneider-electric.com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Props1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21</TotalTime>
  <Pages>2</Pages>
  <Words>810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36</cp:revision>
  <dcterms:created xsi:type="dcterms:W3CDTF">2026-01-21T10:00:00Z</dcterms:created>
  <dcterms:modified xsi:type="dcterms:W3CDTF">2026-02-03T09:35:00Z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